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28"/>
        </w:rPr>
      </w:pPr>
      <w:r>
        <w:rPr>
          <w:rFonts w:hint="eastAsia" w:ascii="宋体" w:hAnsi="宋体"/>
          <w:sz w:val="28"/>
        </w:rPr>
        <w:t xml:space="preserve">                  中药药理重点学科简介</w:t>
      </w:r>
    </w:p>
    <w:p>
      <w:pPr>
        <w:rPr>
          <w:rFonts w:hint="eastAsia" w:ascii="宋体" w:hAnsi="宋体"/>
          <w:sz w:val="28"/>
        </w:rPr>
      </w:pPr>
    </w:p>
    <w:p>
      <w:pPr>
        <w:ind w:firstLine="840" w:firstLineChars="300"/>
        <w:rPr>
          <w:rFonts w:hint="eastAsia" w:ascii="宋体" w:hAnsi="宋体"/>
          <w:sz w:val="28"/>
        </w:rPr>
      </w:pPr>
      <w:r>
        <w:rPr>
          <w:rFonts w:hint="eastAsia" w:ascii="宋体" w:hAnsi="宋体"/>
          <w:sz w:val="28"/>
        </w:rPr>
        <w:t>“中药药理重点学科”建立于1958年，2002年被国家中医药管理局定为重点学科建设单位。2008年第一次通过国家中医药管理局重点学科验收，2010年再一次被定为重点建设学科。本学科建设在已有的基础上，始终围绕</w:t>
      </w:r>
      <w:r>
        <w:rPr>
          <w:rFonts w:hint="eastAsia" w:ascii="宋体" w:hAnsi="宋体"/>
          <w:sz w:val="30"/>
          <w:szCs w:val="30"/>
        </w:rPr>
        <w:t>“进行中药及其复方作用的物质基础研究，并阐明其作用机制, 开</w:t>
      </w:r>
      <w:bookmarkStart w:id="0" w:name="_GoBack"/>
      <w:bookmarkEnd w:id="0"/>
      <w:r>
        <w:rPr>
          <w:rFonts w:hint="eastAsia" w:ascii="宋体" w:hAnsi="宋体"/>
          <w:sz w:val="30"/>
          <w:szCs w:val="30"/>
        </w:rPr>
        <w:t>发创新中药”这一总体目标，</w:t>
      </w:r>
      <w:r>
        <w:rPr>
          <w:rFonts w:hint="eastAsia" w:ascii="宋体" w:hAnsi="宋体"/>
          <w:sz w:val="30"/>
          <w:szCs w:val="30"/>
        </w:rPr>
        <w:t>本着继承祖国传统中医药文化，利用现代科学技术手段，依靠长白山地方资源，坚持心血管药理、消化系统药理、呼吸系统药理、内分泌系统药理四个长期稳定的研究方向，</w:t>
      </w:r>
      <w:r>
        <w:rPr>
          <w:rFonts w:hint="eastAsia" w:ascii="宋体" w:hAnsi="宋体"/>
          <w:sz w:val="28"/>
        </w:rPr>
        <w:t>已经建立起合理的学科结构和完善的学科体系，形成较高水平的中医药学科研、人材培养、技术创新基地；同时围绕推动中医药学术发展，提高临床疗效这一核心，又</w:t>
      </w:r>
      <w:r>
        <w:rPr>
          <w:rFonts w:hint="eastAsia" w:ascii="宋体" w:hAnsi="宋体"/>
          <w:color w:val="000000"/>
          <w:sz w:val="28"/>
        </w:rPr>
        <w:t>产生出新的</w:t>
      </w:r>
      <w:r>
        <w:rPr>
          <w:rFonts w:hint="eastAsia" w:ascii="宋体" w:hAnsi="宋体"/>
          <w:sz w:val="28"/>
        </w:rPr>
        <w:t>标志性成果；为本地区的经济、社会发展作出了重要的贡献，产生拉动，辐射效应。同时扩大了本学科的社会影响和行业地位，是本行业区域发展不可缺少的一支重要的力量。</w:t>
      </w:r>
    </w:p>
    <w:p>
      <w:pPr>
        <w:ind w:firstLine="630" w:firstLineChars="210"/>
        <w:rPr>
          <w:rFonts w:hint="eastAsia" w:ascii="宋体" w:hAnsi="宋体"/>
          <w:bCs/>
          <w:sz w:val="30"/>
          <w:szCs w:val="30"/>
        </w:rPr>
      </w:pPr>
      <w:r>
        <w:rPr>
          <w:rFonts w:hint="eastAsia" w:ascii="宋体" w:hAnsi="宋体"/>
          <w:sz w:val="30"/>
          <w:szCs w:val="30"/>
        </w:rPr>
        <w:t>本学科有一支老、中、青相结合的科研队伍，整体素质较高。具有一批正高级职称的学术骨干，具备组织管理能力及科研创新能力，组织多学科联合攻关。</w:t>
      </w:r>
      <w:r>
        <w:rPr>
          <w:rFonts w:hint="eastAsia" w:ascii="宋体" w:hAnsi="宋体"/>
          <w:sz w:val="28"/>
        </w:rPr>
        <w:t>学术带头人为国内行业的著名专家孙晓波研究员，学科带头人是国家二级教授、国务院特殊津贴获得者，百千万人才工程国家级人选，吉林省拔尖人才，吉林省有突出贡献中青年专家徐惠波研究员，后备学科带头人是丁涛主任药师；学科现有人员33人，正高职称13</w:t>
      </w:r>
      <w:r>
        <w:rPr>
          <w:rFonts w:hint="eastAsia" w:ascii="宋体" w:hAnsi="宋体"/>
          <w:color w:val="000000"/>
          <w:sz w:val="30"/>
          <w:szCs w:val="30"/>
        </w:rPr>
        <w:t>人，其中二级岗位人员3人；中级以下11人，大学本科以上学历27人，硕士及博士研究生10人。专业背景有中药学、药学、中医临床、化学、生物化学、药理、病理、细胞生物等等，学缘结构合理。80%以上人员现均从事中药</w:t>
      </w:r>
      <w:r>
        <w:rPr>
          <w:rFonts w:hint="eastAsia" w:ascii="宋体" w:hAnsi="宋体"/>
          <w:sz w:val="30"/>
          <w:szCs w:val="30"/>
        </w:rPr>
        <w:t>药理研究工作5年以上。</w:t>
      </w:r>
    </w:p>
    <w:p>
      <w:pPr>
        <w:ind w:firstLine="840" w:firstLineChars="300"/>
        <w:rPr>
          <w:rFonts w:hint="eastAsia" w:ascii="宋体" w:hAnsi="宋体"/>
          <w:sz w:val="30"/>
          <w:szCs w:val="30"/>
        </w:rPr>
      </w:pPr>
      <w:r>
        <w:rPr>
          <w:rFonts w:hint="eastAsia" w:ascii="宋体" w:hAnsi="宋体"/>
          <w:sz w:val="28"/>
        </w:rPr>
        <w:t>多年来经过努力，在中药药理新方法、新技术、新思路，中药新药开发，中药复方有效物质基础与作用机制研究三个层面上取得了显著成效；筹集了大量的经费用于学科建设。</w:t>
      </w:r>
      <w:r>
        <w:rPr>
          <w:rFonts w:hint="eastAsia" w:ascii="宋体" w:hAnsi="宋体"/>
          <w:sz w:val="30"/>
          <w:szCs w:val="30"/>
        </w:rPr>
        <w:t>近五年来主持或参与国家重大新药创制专项、国家自然基金、国家行业专项、吉林省科技厅</w:t>
      </w:r>
      <w:r>
        <w:rPr>
          <w:rFonts w:hint="eastAsia" w:ascii="宋体" w:hAnsi="宋体"/>
          <w:color w:val="000000"/>
          <w:sz w:val="30"/>
          <w:szCs w:val="30"/>
        </w:rPr>
        <w:t>各层</w:t>
      </w:r>
      <w:r>
        <w:rPr>
          <w:rFonts w:hint="eastAsia" w:ascii="宋体" w:hAnsi="宋体"/>
          <w:sz w:val="30"/>
          <w:szCs w:val="30"/>
        </w:rPr>
        <w:t>次项目</w:t>
      </w:r>
      <w:r>
        <w:rPr>
          <w:rFonts w:hint="eastAsia" w:ascii="宋体" w:hAnsi="宋体"/>
          <w:sz w:val="30"/>
          <w:szCs w:val="30"/>
          <w:lang w:val="en-US" w:eastAsia="zh-CN"/>
        </w:rPr>
        <w:t>5</w:t>
      </w:r>
      <w:r>
        <w:rPr>
          <w:rFonts w:hint="eastAsia" w:ascii="宋体" w:hAnsi="宋体"/>
          <w:sz w:val="30"/>
          <w:szCs w:val="30"/>
        </w:rPr>
        <w:t>8项，提供技术服务</w:t>
      </w:r>
      <w:r>
        <w:rPr>
          <w:rFonts w:hint="eastAsia" w:ascii="宋体" w:hAnsi="宋体"/>
          <w:sz w:val="30"/>
          <w:szCs w:val="30"/>
          <w:lang w:val="en-US" w:eastAsia="zh-CN"/>
        </w:rPr>
        <w:t>4</w:t>
      </w:r>
      <w:r>
        <w:rPr>
          <w:rFonts w:hint="eastAsia" w:ascii="宋体" w:hAnsi="宋体"/>
          <w:sz w:val="30"/>
          <w:szCs w:val="30"/>
        </w:rPr>
        <w:t>5项，培养研究生20余人，截至2021年围绕学科发展方向争取项目经费近</w:t>
      </w:r>
      <w:r>
        <w:rPr>
          <w:rFonts w:hint="eastAsia" w:ascii="宋体" w:hAnsi="宋体"/>
          <w:sz w:val="30"/>
          <w:szCs w:val="30"/>
          <w:lang w:val="en-US" w:eastAsia="zh-CN"/>
        </w:rPr>
        <w:t>12</w:t>
      </w:r>
      <w:r>
        <w:rPr>
          <w:rFonts w:hint="eastAsia" w:ascii="宋体" w:hAnsi="宋体"/>
          <w:sz w:val="30"/>
          <w:szCs w:val="30"/>
        </w:rPr>
        <w:t>00万元。五年中申请新药临床批件</w:t>
      </w:r>
      <w:r>
        <w:rPr>
          <w:rFonts w:hint="eastAsia" w:ascii="宋体" w:hAnsi="宋体"/>
          <w:sz w:val="30"/>
          <w:szCs w:val="30"/>
          <w:lang w:val="en-US" w:eastAsia="zh-CN"/>
        </w:rPr>
        <w:t>2</w:t>
      </w:r>
      <w:r>
        <w:rPr>
          <w:rFonts w:hint="eastAsia" w:ascii="宋体" w:hAnsi="宋体"/>
          <w:sz w:val="30"/>
          <w:szCs w:val="30"/>
        </w:rPr>
        <w:t>个；开发了保健食品、保健用品5项；申请发明专利2项；获得国家级科技进步二等奖1项、省部级一、二、三奖励科研成果</w:t>
      </w:r>
      <w:r>
        <w:rPr>
          <w:rFonts w:hint="eastAsia" w:ascii="宋体" w:hAnsi="宋体"/>
          <w:sz w:val="30"/>
          <w:szCs w:val="30"/>
          <w:lang w:val="en-US" w:eastAsia="zh-CN"/>
        </w:rPr>
        <w:t>8</w:t>
      </w:r>
      <w:r>
        <w:rPr>
          <w:rFonts w:hint="eastAsia" w:ascii="宋体" w:hAnsi="宋体"/>
          <w:sz w:val="30"/>
          <w:szCs w:val="30"/>
        </w:rPr>
        <w:t>项，鉴定成果15项。多项科研项目研究达到了国内领先或国际先进水平。五年来共发表论文55篇，被SCI或EI收录</w:t>
      </w:r>
      <w:r>
        <w:rPr>
          <w:rFonts w:hint="eastAsia" w:ascii="宋体" w:hAnsi="宋体"/>
          <w:sz w:val="30"/>
          <w:szCs w:val="30"/>
          <w:lang w:val="en-US" w:eastAsia="zh-CN"/>
        </w:rPr>
        <w:t>8</w:t>
      </w:r>
      <w:r>
        <w:rPr>
          <w:rFonts w:hint="eastAsia" w:ascii="宋体" w:hAnsi="宋体"/>
          <w:sz w:val="30"/>
          <w:szCs w:val="30"/>
        </w:rPr>
        <w:t>篇。主编、副主编著作</w:t>
      </w:r>
      <w:r>
        <w:rPr>
          <w:rFonts w:hint="eastAsia" w:ascii="宋体" w:hAnsi="宋体"/>
          <w:sz w:val="30"/>
          <w:szCs w:val="30"/>
          <w:lang w:val="en-US" w:eastAsia="zh-CN"/>
        </w:rPr>
        <w:t>2</w:t>
      </w:r>
      <w:r>
        <w:rPr>
          <w:rFonts w:hint="eastAsia" w:ascii="宋体" w:hAnsi="宋体"/>
          <w:sz w:val="30"/>
          <w:szCs w:val="30"/>
        </w:rPr>
        <w:t>部。</w:t>
      </w:r>
    </w:p>
    <w:p>
      <w:pPr>
        <w:ind w:firstLine="560" w:firstLineChars="200"/>
        <w:rPr>
          <w:rFonts w:hint="eastAsia" w:ascii="宋体" w:hAnsi="宋体"/>
          <w:sz w:val="28"/>
          <w:szCs w:val="28"/>
        </w:rPr>
      </w:pPr>
      <w:r>
        <w:rPr>
          <w:rFonts w:hint="eastAsia" w:ascii="宋体" w:hAnsi="宋体"/>
          <w:color w:val="000000"/>
          <w:sz w:val="28"/>
          <w:szCs w:val="28"/>
        </w:rPr>
        <w:t>中药药理学科</w:t>
      </w:r>
      <w:r>
        <w:rPr>
          <w:rFonts w:hint="eastAsia" w:ascii="宋体" w:hAnsi="宋体"/>
          <w:sz w:val="28"/>
          <w:szCs w:val="28"/>
        </w:rPr>
        <w:t>主要的实验技术：</w:t>
      </w:r>
    </w:p>
    <w:p>
      <w:pPr>
        <w:ind w:firstLine="560" w:firstLineChars="200"/>
        <w:rPr>
          <w:rFonts w:hint="eastAsia" w:ascii="宋体" w:hAnsi="宋体"/>
          <w:sz w:val="28"/>
          <w:szCs w:val="28"/>
        </w:rPr>
      </w:pPr>
      <w:r>
        <w:rPr>
          <w:rFonts w:hint="eastAsia" w:ascii="宋体" w:hAnsi="宋体"/>
          <w:sz w:val="28"/>
          <w:szCs w:val="28"/>
        </w:rPr>
        <w:t>1、复制并改进了心血管系统疾病动物模型（心肌缺血、心肌梗死、心肌缺血再灌注损伤、心律失常、高血压、心衰、</w:t>
      </w:r>
      <w:r>
        <w:rPr>
          <w:rFonts w:hint="eastAsia" w:ascii="宋体" w:hAnsi="宋体"/>
          <w:color w:val="000000"/>
          <w:sz w:val="28"/>
          <w:szCs w:val="28"/>
        </w:rPr>
        <w:t>心肌炎、免疫性心肌损伤、</w:t>
      </w:r>
      <w:r>
        <w:rPr>
          <w:rFonts w:hint="eastAsia" w:ascii="宋体" w:hAnsi="宋体"/>
          <w:sz w:val="28"/>
          <w:szCs w:val="28"/>
        </w:rPr>
        <w:t>心脏血流动力学、肺心病、高血脂症、动脉硬化）技术；</w:t>
      </w:r>
    </w:p>
    <w:p>
      <w:pPr>
        <w:ind w:firstLine="573"/>
        <w:rPr>
          <w:rFonts w:hint="eastAsia" w:ascii="宋体" w:hAnsi="宋体"/>
          <w:sz w:val="28"/>
          <w:szCs w:val="28"/>
        </w:rPr>
      </w:pPr>
      <w:r>
        <w:rPr>
          <w:rFonts w:hint="eastAsia" w:ascii="宋体" w:hAnsi="宋体"/>
          <w:sz w:val="28"/>
          <w:szCs w:val="28"/>
        </w:rPr>
        <w:t>2、复制并改进了脑血管系统疾病动物模型（部分脑出血、局灶性脑缺血及再灌注、全脑缺血再灌注、脑血流动力学）技术；</w:t>
      </w:r>
    </w:p>
    <w:p>
      <w:pPr>
        <w:ind w:firstLine="573"/>
        <w:rPr>
          <w:rFonts w:hint="eastAsia" w:ascii="宋体" w:hAnsi="宋体"/>
          <w:sz w:val="28"/>
          <w:szCs w:val="28"/>
        </w:rPr>
      </w:pPr>
      <w:r>
        <w:rPr>
          <w:rFonts w:hint="eastAsia" w:ascii="宋体" w:hAnsi="宋体"/>
          <w:sz w:val="28"/>
          <w:szCs w:val="28"/>
        </w:rPr>
        <w:t>3、复制并改进了糖尿病及其并发症动物模型及技术；</w:t>
      </w:r>
    </w:p>
    <w:p>
      <w:pPr>
        <w:ind w:firstLine="573"/>
        <w:rPr>
          <w:rFonts w:hint="eastAsia" w:ascii="宋体" w:hAnsi="宋体"/>
          <w:sz w:val="28"/>
          <w:szCs w:val="28"/>
        </w:rPr>
      </w:pPr>
      <w:r>
        <w:rPr>
          <w:rFonts w:hint="eastAsia" w:ascii="宋体" w:hAnsi="宋体"/>
          <w:sz w:val="28"/>
          <w:szCs w:val="28"/>
        </w:rPr>
        <w:t>4、复制并改进了多种体内外血栓动物模型技术；</w:t>
      </w:r>
    </w:p>
    <w:p>
      <w:pPr>
        <w:ind w:firstLine="573"/>
        <w:rPr>
          <w:rFonts w:hint="eastAsia" w:ascii="宋体" w:hAnsi="宋体"/>
          <w:sz w:val="28"/>
          <w:szCs w:val="28"/>
        </w:rPr>
      </w:pPr>
      <w:r>
        <w:rPr>
          <w:rFonts w:hint="eastAsia" w:ascii="宋体" w:hAnsi="宋体"/>
          <w:sz w:val="28"/>
          <w:szCs w:val="28"/>
        </w:rPr>
        <w:t>5、初步建立了心血管、糖尿病的病症结合动物模型；</w:t>
      </w:r>
    </w:p>
    <w:p>
      <w:pPr>
        <w:ind w:firstLine="573"/>
        <w:rPr>
          <w:rFonts w:hint="eastAsia" w:ascii="宋体" w:hAnsi="宋体"/>
          <w:sz w:val="28"/>
          <w:szCs w:val="28"/>
        </w:rPr>
      </w:pPr>
      <w:r>
        <w:rPr>
          <w:rFonts w:hint="eastAsia" w:ascii="宋体" w:hAnsi="宋体"/>
          <w:sz w:val="28"/>
          <w:szCs w:val="28"/>
        </w:rPr>
        <w:t>6、初步建立了药物特殊毒理学、一般毒理学早期评价技术及药物毒理、一般药理学研究技术；</w:t>
      </w:r>
    </w:p>
    <w:p>
      <w:pPr>
        <w:ind w:firstLine="573"/>
        <w:rPr>
          <w:rFonts w:hint="eastAsia" w:ascii="宋体" w:hAnsi="宋体"/>
          <w:sz w:val="28"/>
          <w:szCs w:val="28"/>
        </w:rPr>
      </w:pPr>
      <w:r>
        <w:rPr>
          <w:rFonts w:hint="eastAsia" w:ascii="宋体" w:hAnsi="宋体"/>
          <w:sz w:val="28"/>
          <w:szCs w:val="28"/>
        </w:rPr>
        <w:t>7、建立了保健食品、保健用品的研发技术；</w:t>
      </w:r>
    </w:p>
    <w:p>
      <w:pPr>
        <w:ind w:firstLine="573"/>
        <w:rPr>
          <w:rFonts w:hint="eastAsia" w:ascii="宋体" w:hAnsi="宋体"/>
          <w:sz w:val="28"/>
          <w:szCs w:val="28"/>
        </w:rPr>
      </w:pPr>
      <w:r>
        <w:rPr>
          <w:rFonts w:hint="eastAsia" w:ascii="宋体" w:hAnsi="宋体"/>
          <w:sz w:val="28"/>
          <w:szCs w:val="28"/>
        </w:rPr>
        <w:t>8、复制和改进了呼吸系统、消化系统、内分泌系统、妇科疾病、男性病、肿瘤、血小板减少等疾病动物模型技术；</w:t>
      </w:r>
    </w:p>
    <w:p>
      <w:pPr>
        <w:ind w:firstLine="573"/>
        <w:rPr>
          <w:rFonts w:hint="eastAsia" w:ascii="宋体" w:hAnsi="宋体"/>
          <w:sz w:val="28"/>
          <w:szCs w:val="28"/>
        </w:rPr>
      </w:pPr>
      <w:r>
        <w:rPr>
          <w:rFonts w:hint="eastAsia" w:ascii="宋体" w:hAnsi="宋体"/>
          <w:sz w:val="28"/>
          <w:szCs w:val="28"/>
        </w:rPr>
        <w:t>9、建立了中药药理模型与数学统计相结合进行中药新配方组合配伍比例的筛选技术；</w:t>
      </w:r>
    </w:p>
    <w:p>
      <w:pPr>
        <w:ind w:firstLine="571" w:firstLineChars="204"/>
        <w:rPr>
          <w:rFonts w:hint="eastAsia" w:ascii="宋体" w:hAnsi="宋体"/>
          <w:sz w:val="28"/>
          <w:szCs w:val="28"/>
        </w:rPr>
      </w:pPr>
      <w:r>
        <w:rPr>
          <w:rFonts w:hint="eastAsia" w:ascii="宋体" w:hAnsi="宋体"/>
          <w:sz w:val="28"/>
          <w:szCs w:val="28"/>
        </w:rPr>
        <w:t>10、初步建立药物ADME早期评价技术；</w:t>
      </w:r>
    </w:p>
    <w:p>
      <w:pPr>
        <w:ind w:firstLine="840" w:firstLineChars="300"/>
        <w:rPr>
          <w:rFonts w:ascii="宋体" w:hAnsi="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14582"/>
    <w:rsid w:val="00014582"/>
    <w:rsid w:val="00053616"/>
    <w:rsid w:val="000E7556"/>
    <w:rsid w:val="00295FC3"/>
    <w:rsid w:val="00306218"/>
    <w:rsid w:val="003C59E3"/>
    <w:rsid w:val="00437B0A"/>
    <w:rsid w:val="00525492"/>
    <w:rsid w:val="005E208D"/>
    <w:rsid w:val="005F2B56"/>
    <w:rsid w:val="006A3ED1"/>
    <w:rsid w:val="006E40F3"/>
    <w:rsid w:val="00B13CA1"/>
    <w:rsid w:val="00C410C3"/>
    <w:rsid w:val="00C54038"/>
    <w:rsid w:val="00EF3A1B"/>
    <w:rsid w:val="0F96282E"/>
    <w:rsid w:val="7E644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3</Pages>
  <Words>217</Words>
  <Characters>1238</Characters>
  <Lines>10</Lines>
  <Paragraphs>2</Paragraphs>
  <TotalTime>45</TotalTime>
  <ScaleCrop>false</ScaleCrop>
  <LinksUpToDate>false</LinksUpToDate>
  <CharactersWithSpaces>1453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2022-01-24T01:13:00Z</dcterms:created>
  <dc:creator>User</dc:creator>
  <cp:lastModifiedBy>liuJX</cp:lastModifiedBy>
  <dcterms:modified xsi:type="dcterms:W3CDTF">2022-01-24T03:10:36Z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D48B7DD3C5DB45C780CF465061F52529</vt:lpwstr>
  </property>
</Properties>
</file>